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53"/>
        <w:gridCol w:w="1176"/>
        <w:gridCol w:w="3534"/>
        <w:gridCol w:w="2752"/>
      </w:tblGrid>
      <w:tr w:rsidR="001D21E1" w:rsidRPr="001D21E1" w:rsidTr="001D21E1">
        <w:tc>
          <w:tcPr>
            <w:tcW w:w="500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  <w:t>July 2014</w:t>
            </w:r>
          </w:p>
        </w:tc>
      </w:tr>
      <w:tr w:rsidR="001D21E1" w:rsidRPr="001D21E1" w:rsidTr="001D21E1">
        <w:trPr>
          <w:trHeight w:val="528"/>
        </w:trPr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No Meetings Scheduled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</w:tbl>
    <w:p w:rsidR="001D21E1" w:rsidRPr="001D21E1" w:rsidRDefault="001D21E1" w:rsidP="001D21E1">
      <w:pPr>
        <w:shd w:val="clear" w:color="auto" w:fill="F7F7F7"/>
        <w:spacing w:after="210" w:line="300" w:lineRule="atLeast"/>
        <w:rPr>
          <w:rFonts w:ascii="Arial" w:eastAsia="Times New Roman" w:hAnsi="Arial" w:cs="Arial"/>
          <w:color w:val="3E4D51"/>
          <w:sz w:val="21"/>
          <w:szCs w:val="21"/>
          <w:lang w:val="en"/>
        </w:rPr>
      </w:pPr>
      <w:r w:rsidRPr="001D21E1">
        <w:rPr>
          <w:rFonts w:ascii="Arial" w:eastAsia="Times New Roman" w:hAnsi="Arial" w:cs="Arial"/>
          <w:color w:val="3E4D51"/>
          <w:sz w:val="21"/>
          <w:szCs w:val="21"/>
          <w:lang w:val="en"/>
        </w:rPr>
        <w:t> </w:t>
      </w:r>
    </w:p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53"/>
        <w:gridCol w:w="1176"/>
        <w:gridCol w:w="3534"/>
        <w:gridCol w:w="2752"/>
      </w:tblGrid>
      <w:tr w:rsidR="001D21E1" w:rsidRPr="001D21E1" w:rsidTr="001D21E1">
        <w:tc>
          <w:tcPr>
            <w:tcW w:w="500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  <w:t>August 2014</w:t>
            </w:r>
          </w:p>
        </w:tc>
      </w:tr>
      <w:tr w:rsidR="001D21E1" w:rsidRPr="001D21E1" w:rsidTr="001D21E1">
        <w:trPr>
          <w:trHeight w:val="528"/>
        </w:trPr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August 27,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 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9:00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Board Development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b/>
                <w:bCs/>
                <w:i/>
                <w:iCs/>
                <w:color w:val="3E4D51"/>
                <w:sz w:val="21"/>
                <w:szCs w:val="21"/>
              </w:rPr>
              <w:t>Master Plan Educational Attainment Goal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6th Floor, Room 2-642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Board Conference Room</w:t>
            </w:r>
          </w:p>
        </w:tc>
      </w:tr>
    </w:tbl>
    <w:p w:rsidR="001D21E1" w:rsidRPr="001D21E1" w:rsidRDefault="001D21E1" w:rsidP="001D21E1">
      <w:pPr>
        <w:shd w:val="clear" w:color="auto" w:fill="F7F7F7"/>
        <w:spacing w:after="0" w:line="300" w:lineRule="atLeast"/>
        <w:rPr>
          <w:rFonts w:ascii="Arial" w:eastAsia="Times New Roman" w:hAnsi="Arial" w:cs="Arial"/>
          <w:vanish/>
          <w:color w:val="3E4D51"/>
          <w:sz w:val="21"/>
          <w:szCs w:val="21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176"/>
        <w:gridCol w:w="3528"/>
        <w:gridCol w:w="2748"/>
      </w:tblGrid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August 27,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Committee Meetings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1st Floor, Room 1-100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The Louisiana Purchase Room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 9:45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5" w:tooltip="Academic Agenda - 2014 0827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Academic and Student Affairs Committee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10:00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6" w:tooltip="Facilities Agenda - 2014 0827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Facilities and Property Committee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10:15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7" w:tooltip="Sponsored Agenda - 2014 0827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Sponsored Programs Committee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10:45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Planning, Research and Academic Affairs Committee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8" w:tooltip="PRP Agenda Part 2 - 2014 0827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Part 1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9" w:tooltip="PRP Agenda Part 2 - 2014 0822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Part 2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10" w:tooltip="PRP Agenda Part 3 - 2014 0827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Part 3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11:30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11" w:tooltip="Board Agenda - 2014 0827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Board Meeting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*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1st Floor, Room 1-100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The Louisiana Purchase Room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1:00 p.m.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12" w:tooltip="Search Agenda - 2014 08 27-28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Search Committee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*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1st Floor, Room 1-100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 xml:space="preserve">The Louisiana Purchase 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lastRenderedPageBreak/>
              <w:t>Room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Thursday,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August 28,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9:00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13" w:tooltip="Search Agenda - 2014 08 27-28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Search Committee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*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1st Floor, Room 1-100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The Louisiana Purchase Room</w:t>
            </w:r>
          </w:p>
        </w:tc>
      </w:tr>
      <w:tr w:rsidR="001D21E1" w:rsidRPr="001D21E1" w:rsidTr="001D21E1">
        <w:tc>
          <w:tcPr>
            <w:tcW w:w="20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*</w:t>
            </w:r>
            <w:proofErr w:type="gramStart"/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 xml:space="preserve">  </w:t>
            </w: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The</w:t>
            </w:r>
            <w:proofErr w:type="gramEnd"/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 xml:space="preserve"> Board of Regents reserves the right to enter into Executive Session, if needed, in accordance with R.S. 42:11 </w:t>
            </w:r>
            <w:r w:rsidRPr="001D21E1">
              <w:rPr>
                <w:rFonts w:ascii="Arial" w:eastAsia="Times New Roman" w:hAnsi="Arial" w:cs="Arial"/>
                <w:i/>
                <w:iCs/>
                <w:color w:val="3E4D51"/>
                <w:sz w:val="21"/>
                <w:szCs w:val="21"/>
              </w:rPr>
              <w:t>et. seq</w:t>
            </w:r>
            <w:proofErr w:type="gramStart"/>
            <w:r w:rsidRPr="001D21E1">
              <w:rPr>
                <w:rFonts w:ascii="Arial" w:eastAsia="Times New Roman" w:hAnsi="Arial" w:cs="Arial"/>
                <w:i/>
                <w:iCs/>
                <w:color w:val="3E4D51"/>
                <w:sz w:val="21"/>
                <w:szCs w:val="21"/>
              </w:rPr>
              <w:t>.</w:t>
            </w:r>
            <w:proofErr w:type="gramEnd"/>
            <w:r w:rsidRPr="001D21E1">
              <w:rPr>
                <w:rFonts w:ascii="Arial" w:eastAsia="Times New Roman" w:hAnsi="Arial" w:cs="Arial"/>
                <w:i/>
                <w:iCs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 xml:space="preserve">** Committee Meetings may begin later contingent upon adjournments of previous meeting.  Meetings may also convene up to 30 minutes prior to posted schedule to facilitate business </w:t>
            </w:r>
            <w:proofErr w:type="spellStart"/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proceedings.If</w:t>
            </w:r>
            <w:proofErr w:type="spellEnd"/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 xml:space="preserve"> you plan to attend any meeting listed on this notice and need assistance at that time because you are disabled, please </w:t>
            </w:r>
            <w:proofErr w:type="spellStart"/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notifiy</w:t>
            </w:r>
            <w:proofErr w:type="spellEnd"/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 xml:space="preserve"> this office seven (7) days in advance, and </w:t>
            </w:r>
            <w:proofErr w:type="spellStart"/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arrangments</w:t>
            </w:r>
            <w:proofErr w:type="spellEnd"/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 xml:space="preserve"> will be made to accommodate you.</w:t>
            </w:r>
          </w:p>
        </w:tc>
      </w:tr>
    </w:tbl>
    <w:p w:rsidR="001D21E1" w:rsidRPr="001D21E1" w:rsidRDefault="001D21E1" w:rsidP="001D21E1">
      <w:pPr>
        <w:shd w:val="clear" w:color="auto" w:fill="F7F7F7"/>
        <w:spacing w:after="210" w:line="300" w:lineRule="atLeast"/>
        <w:rPr>
          <w:rFonts w:ascii="Arial" w:eastAsia="Times New Roman" w:hAnsi="Arial" w:cs="Arial"/>
          <w:color w:val="3E4D51"/>
          <w:sz w:val="21"/>
          <w:szCs w:val="21"/>
          <w:lang w:val="en"/>
        </w:rPr>
      </w:pPr>
      <w:r w:rsidRPr="001D21E1">
        <w:rPr>
          <w:rFonts w:ascii="Arial" w:eastAsia="Times New Roman" w:hAnsi="Arial" w:cs="Arial"/>
          <w:color w:val="3E4D51"/>
          <w:sz w:val="21"/>
          <w:szCs w:val="21"/>
          <w:lang w:val="en"/>
        </w:rPr>
        <w:t> </w:t>
      </w:r>
    </w:p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39"/>
        <w:gridCol w:w="1016"/>
        <w:gridCol w:w="4539"/>
        <w:gridCol w:w="2476"/>
      </w:tblGrid>
      <w:tr w:rsidR="001D21E1" w:rsidRPr="001D21E1" w:rsidTr="001D21E1">
        <w:tc>
          <w:tcPr>
            <w:tcW w:w="500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  <w:t>September 2014</w:t>
            </w:r>
          </w:p>
        </w:tc>
      </w:tr>
      <w:tr w:rsidR="001D21E1" w:rsidRPr="001D21E1" w:rsidTr="001D21E1">
        <w:trPr>
          <w:trHeight w:val="528"/>
        </w:trPr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 September 24,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14" w:tooltip="BOR Budget Hearings - 2014 0924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Board of Regents</w:t>
              </w:r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br/>
                <w:t>Budget Hearings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6th Floor, Room 6-242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 xml:space="preserve">Board Conference </w:t>
            </w: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9:00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Introduction – Board of Regents’ Staff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</w:t>
            </w: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Louisiana Office of Student Financial Assistance (LOSFA)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Louisiana State University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11:30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Louisiana Universities Marine Consortium (LUMCON)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Noon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i/>
                <w:iCs/>
                <w:color w:val="3E4D51"/>
                <w:sz w:val="21"/>
                <w:szCs w:val="21"/>
              </w:rPr>
              <w:t>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 1:00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Southern University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 2:00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University of Louisiana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 3:00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Louisiana Community and Technical College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rPr>
          <w:trHeight w:val="552"/>
        </w:trPr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 xml:space="preserve">Thursday, September 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lastRenderedPageBreak/>
              <w:t>25, 2014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 Committee and Board Meetings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</w:t>
            </w: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 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Development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b/>
                <w:bCs/>
                <w:i/>
                <w:iCs/>
                <w:color w:val="3E4D51"/>
                <w:sz w:val="21"/>
                <w:szCs w:val="21"/>
              </w:rPr>
              <w:t>Complete College America’s Game Changer’s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6th Floor, Room 6-242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 xml:space="preserve">Board Conference </w:t>
            </w: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i/>
                <w:iCs/>
                <w:color w:val="3E4D51"/>
                <w:sz w:val="21"/>
                <w:szCs w:val="21"/>
              </w:rPr>
              <w:t>Times</w:t>
            </w:r>
            <w:r w:rsidRPr="001D21E1">
              <w:rPr>
                <w:rFonts w:ascii="Arial" w:eastAsia="Times New Roman" w:hAnsi="Arial" w:cs="Arial"/>
                <w:b/>
                <w:bCs/>
                <w:i/>
                <w:iCs/>
                <w:color w:val="3E4D51"/>
                <w:sz w:val="21"/>
                <w:szCs w:val="21"/>
              </w:rPr>
              <w:br/>
              <w:t>Revised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10:15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WISE Council Subcommittee Report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1st Floor, Room 1-100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The Louisiana Purchase Room</w:t>
            </w: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10:45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15" w:tooltip="Academic Agenda - 2014 0925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Academic and Student Affairs Committee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11:00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16" w:tooltip="Finance Agenda - 2014 0925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Finance Committee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11:05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17" w:tooltip="Executive Agenda - 2014 0925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Executive Committee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11:10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18" w:tooltip="Sponsored Agenda - 2014 0925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Sponsored Programs Committee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11:40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19" w:tooltip="PRP Agenda - 2014 0925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Planning, Research and Performance Committee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11:50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20" w:tooltip="Board Agenda - 2014 0925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Board Meeting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 xml:space="preserve"> 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rPr>
          <w:trHeight w:val="552"/>
        </w:trPr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</w:t>
            </w:r>
          </w:p>
        </w:tc>
      </w:tr>
    </w:tbl>
    <w:p w:rsidR="001D21E1" w:rsidRPr="001D21E1" w:rsidRDefault="001D21E1" w:rsidP="001D21E1">
      <w:pPr>
        <w:shd w:val="clear" w:color="auto" w:fill="F7F7F7"/>
        <w:spacing w:after="0" w:line="300" w:lineRule="atLeast"/>
        <w:rPr>
          <w:rFonts w:ascii="Arial" w:eastAsia="Times New Roman" w:hAnsi="Arial" w:cs="Arial"/>
          <w:vanish/>
          <w:color w:val="3E4D51"/>
          <w:sz w:val="21"/>
          <w:szCs w:val="21"/>
          <w:lang w:val="en"/>
        </w:rPr>
      </w:pPr>
    </w:p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53"/>
        <w:gridCol w:w="1176"/>
        <w:gridCol w:w="3534"/>
        <w:gridCol w:w="2752"/>
      </w:tblGrid>
      <w:tr w:rsidR="001D21E1" w:rsidRPr="001D21E1" w:rsidTr="001D21E1">
        <w:tc>
          <w:tcPr>
            <w:tcW w:w="500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  <w:t>October 2014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Thursday,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October 9,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9:00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21" w:tooltip="Board Agenda - 2014 1009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Special Meeting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**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1st Floor, Room 1-100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The Louisiana Purchase Room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October 22,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9:00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Board Development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b/>
                <w:bCs/>
                <w:i/>
                <w:iCs/>
                <w:color w:val="3E4D51"/>
                <w:sz w:val="21"/>
                <w:szCs w:val="21"/>
              </w:rPr>
              <w:t>Pending Master Plan and GRAD Act</w:t>
            </w:r>
            <w:r w:rsidRPr="001D21E1">
              <w:rPr>
                <w:rFonts w:ascii="Arial" w:eastAsia="Times New Roman" w:hAnsi="Arial" w:cs="Arial"/>
                <w:b/>
                <w:bCs/>
                <w:i/>
                <w:iCs/>
                <w:color w:val="3E4D51"/>
                <w:sz w:val="21"/>
                <w:szCs w:val="21"/>
              </w:rPr>
              <w:br/>
              <w:t>Issues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6th Floor, Room 6-242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Board Conference Room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lastRenderedPageBreak/>
              <w:t>October 22,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lastRenderedPageBreak/>
              <w:t>Committee Meetings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lastRenderedPageBreak/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lastRenderedPageBreak/>
              <w:t>1st Floor, Room 1-100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The Louisiana Purchase Room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10:00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22" w:tooltip="Academic Agenda - 2014 1022 Rev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Academic and Student Affairs Committee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10:15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23" w:tooltip="Facilities Agenda - 2014 1022 Rev2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Facilities and Property Committee, Revised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24" w:tooltip="Facilities Agenda - 2014 1022 Recommendatns Rev2" w:history="1">
              <w:r w:rsidRPr="001D21E1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1"/>
                  <w:szCs w:val="21"/>
                  <w:u w:val="single"/>
                </w:rPr>
                <w:t>Recommendations Report (Revised)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10:30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25" w:tooltip="Finance Agenda - 2014 1022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Finance Committee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10:45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26" w:tooltip="PRP Agenda - 2014 1022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Planning, Research and Performance Committee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27" w:tooltip="PRP Agenda - 2014 1022 1st Qtrly Rept" w:history="1">
              <w:r w:rsidRPr="001D21E1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1"/>
                  <w:szCs w:val="21"/>
                  <w:u w:val="single"/>
                </w:rPr>
                <w:t>SUS 1st Quarterly Report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28" w:tooltip="PRP Agenda - 2014 1022 1st Qtr Rpt Atchmt" w:history="1">
              <w:r w:rsidRPr="001D21E1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1"/>
                  <w:szCs w:val="21"/>
                  <w:u w:val="single"/>
                </w:rPr>
                <w:t>SUS 1st Quarterly Report Attachment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11:00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29" w:tooltip="Executive Agenda - 2014 1022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Executive Committee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October 22,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11:15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30" w:tooltip="Board Agenda - 2014 1022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Board Meeting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**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1st Floor, Room 1-100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The Louisiana Purchase Room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21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  <w:t>December 2014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December 10,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12:30 p.m</w:t>
            </w: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hyperlink r:id="rId31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br/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Development</w:t>
            </w: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i/>
                <w:iCs/>
                <w:color w:val="3E4D51"/>
                <w:sz w:val="21"/>
                <w:szCs w:val="21"/>
              </w:rPr>
              <w:t>Louisiana Community and Technical College System Public Agenda by Dr. Monty Sullivan, President, LCTCS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6th Floor, Room 6-242</w:t>
            </w: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Conference Room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December 10,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Committee Meetings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First Floor,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Thomas Jefferson Room 1-136, Sections A&amp;B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1:45 p.m.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32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Academic and Student Affairs Committee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2:00 p.m.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33" w:tooltip="Facilities Agenda - 2014 1210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Facilities and Property Committee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 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2:10 p.m.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34" w:tooltip="PRP Agenda - 2014 1210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Planning, Research and Performance Committee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35" w:tooltip="PRP Agenda - 2014 1210 - TOPS Report" w:history="1">
              <w:r w:rsidRPr="001D21E1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1"/>
                  <w:szCs w:val="21"/>
                  <w:u w:val="single"/>
                </w:rPr>
                <w:t>TOPS Report 2003-2014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2:40 p.m.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36" w:tooltip="Sponsored Agenda - 2014 1210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Sponsored Programs Committee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 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3:10 p.m.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37" w:tooltip="Sponsored Agenda - 2014 1210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Nominating Committee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 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3:15 p.m.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38" w:tooltip="LUMCON Agenda - 2014 1210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LUMCON Committee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Thursday,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December 11, 2014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 xml:space="preserve">Joint </w:t>
            </w:r>
            <w:proofErr w:type="spellStart"/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BoR</w:t>
            </w:r>
            <w:proofErr w:type="spellEnd"/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/BESE Meeting and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Board of Regents Meeting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First Floor,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Thomas Jefferson Room 1-136, Sections A&amp;B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 9:00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hyperlink r:id="rId39" w:tooltip="Joint BOR-BESE Agenda - 2014 1211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Joint Board of Regents/Board of Elementary and Secondary Education Meeting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b/>
                <w:bCs/>
                <w:i/>
                <w:iCs/>
                <w:color w:val="3E4D51"/>
                <w:sz w:val="21"/>
                <w:szCs w:val="21"/>
              </w:rPr>
              <w:t>Documentation</w:t>
            </w:r>
            <w:proofErr w:type="gramStart"/>
            <w:r w:rsidRPr="001D21E1">
              <w:rPr>
                <w:rFonts w:ascii="Arial" w:eastAsia="Times New Roman" w:hAnsi="Arial" w:cs="Arial"/>
                <w:b/>
                <w:bCs/>
                <w:i/>
                <w:iCs/>
                <w:color w:val="3E4D51"/>
                <w:sz w:val="21"/>
                <w:szCs w:val="21"/>
              </w:rPr>
              <w:t>:</w:t>
            </w:r>
            <w:proofErr w:type="gramEnd"/>
            <w:r w:rsidRPr="001D21E1">
              <w:rPr>
                <w:rFonts w:ascii="Arial" w:eastAsia="Times New Roman" w:hAnsi="Arial" w:cs="Arial"/>
                <w:b/>
                <w:bCs/>
                <w:i/>
                <w:iCs/>
                <w:color w:val="3E4D51"/>
                <w:sz w:val="21"/>
                <w:szCs w:val="21"/>
              </w:rPr>
              <w:br/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 xml:space="preserve">III.  </w:t>
            </w:r>
            <w:hyperlink r:id="rId40" w:tooltip="Joint BOR-BESE Minutes - 2014 1211" w:history="1">
              <w:proofErr w:type="spellStart"/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BoR</w:t>
              </w:r>
              <w:proofErr w:type="spellEnd"/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/BESE Minutes of June 18,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41" w:tooltip="Joint BOR-BESE Minutes - 2014 1211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2014</w:t>
              </w:r>
            </w:hyperlink>
            <w:hyperlink r:id="rId42" w:tooltip="Joint BOR-BESE Minutes - 2014 1211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br/>
              </w:r>
            </w:hyperlink>
            <w:hyperlink r:id="rId43" w:tooltip="Joint BOR-BESE Agenda - 2014 1211 HCR 173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VI.    HCR 173</w:t>
              </w:r>
            </w:hyperlink>
            <w:hyperlink r:id="rId44" w:tooltip="Joint BOR-BESE Minutes - 2014 1211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br/>
              </w:r>
            </w:hyperlink>
            <w:hyperlink r:id="rId45" w:tooltip="Joint BOR-BESE Agenda - 2014 1211 HCR 173 Appdx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 xml:space="preserve">VI.    HCR 173 </w:t>
              </w:r>
              <w:proofErr w:type="gramStart"/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Appendix</w:t>
              </w:r>
              <w:proofErr w:type="gramEnd"/>
            </w:hyperlink>
            <w:hyperlink r:id="rId46" w:tooltip="Joint BOR-BESE Minutes - 2014 1211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br/>
              </w:r>
            </w:hyperlink>
            <w:hyperlink r:id="rId47" w:tooltip="Joint BOR-BESE Agenda - 2014 1211 SR 153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VII.   SR 153</w:t>
              </w:r>
            </w:hyperlink>
            <w:hyperlink r:id="rId48" w:tooltip="Joint BOR-BESE Minutes - 2014 1211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br/>
              </w:r>
            </w:hyperlink>
            <w:hyperlink r:id="rId49" w:tooltip="Joint BOR-BESE Agenda - 2014 1211 TOPS Rept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VIII. TOPS Core Matrix</w:t>
              </w:r>
            </w:hyperlink>
            <w:hyperlink r:id="rId50" w:tooltip="Joint BOR-BESE Minutes - 2014 1211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br/>
              </w:r>
            </w:hyperlink>
            <w:hyperlink r:id="rId51" w:tooltip="FAFSA - BESE-BOR Mtg - 2014 1210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IX.  FAFSA Completion Report</w:t>
              </w:r>
            </w:hyperlink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11:00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</w:r>
            <w:hyperlink r:id="rId52" w:tooltip="Board Agenda - 2014 1211" w:history="1">
              <w:r w:rsidRPr="001D21E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Board Meeting</w:t>
              </w:r>
            </w:hyperlink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 xml:space="preserve"> **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First Floor,</w:t>
            </w:r>
            <w:r w:rsidRPr="001D21E1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Thomas Jefferson Room 1-136, Sections A&amp;B</w:t>
            </w:r>
          </w:p>
        </w:tc>
      </w:tr>
      <w:tr w:rsidR="001D21E1" w:rsidRPr="001D21E1" w:rsidTr="001D21E1"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D21E1" w:rsidRPr="001D21E1" w:rsidRDefault="001D21E1" w:rsidP="001D21E1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</w:tbl>
    <w:p w:rsidR="001D21E1" w:rsidRPr="001D21E1" w:rsidRDefault="001D21E1" w:rsidP="001D21E1">
      <w:pPr>
        <w:shd w:val="clear" w:color="auto" w:fill="F7F7F7"/>
        <w:spacing w:after="210" w:line="300" w:lineRule="atLeast"/>
        <w:rPr>
          <w:rFonts w:ascii="Arial" w:eastAsia="Times New Roman" w:hAnsi="Arial" w:cs="Arial"/>
          <w:color w:val="3E4D51"/>
          <w:sz w:val="21"/>
          <w:szCs w:val="21"/>
          <w:lang w:val="en"/>
        </w:rPr>
      </w:pPr>
      <w:r w:rsidRPr="001D21E1">
        <w:rPr>
          <w:rFonts w:ascii="Arial" w:eastAsia="Times New Roman" w:hAnsi="Arial" w:cs="Arial"/>
          <w:color w:val="3E4D51"/>
          <w:sz w:val="21"/>
          <w:szCs w:val="21"/>
          <w:lang w:val="en"/>
        </w:rPr>
        <w:t> </w:t>
      </w:r>
    </w:p>
    <w:p w:rsidR="001D21E1" w:rsidRPr="001D21E1" w:rsidRDefault="001D21E1" w:rsidP="001D21E1">
      <w:pPr>
        <w:shd w:val="clear" w:color="auto" w:fill="F7F7F7"/>
        <w:spacing w:after="210" w:line="300" w:lineRule="atLeast"/>
        <w:rPr>
          <w:rFonts w:ascii="Arial" w:eastAsia="Times New Roman" w:hAnsi="Arial" w:cs="Arial"/>
          <w:color w:val="3E4D51"/>
          <w:sz w:val="21"/>
          <w:szCs w:val="21"/>
          <w:lang w:val="en"/>
        </w:rPr>
      </w:pPr>
      <w:r w:rsidRPr="001D21E1">
        <w:rPr>
          <w:rFonts w:ascii="Arial" w:eastAsia="Times New Roman" w:hAnsi="Arial" w:cs="Arial"/>
          <w:color w:val="3E4D51"/>
          <w:sz w:val="21"/>
          <w:szCs w:val="21"/>
          <w:lang w:val="en"/>
        </w:rPr>
        <w:t> </w:t>
      </w:r>
    </w:p>
    <w:p w:rsidR="001D21E1" w:rsidRPr="001D21E1" w:rsidRDefault="001D21E1" w:rsidP="001D21E1">
      <w:pPr>
        <w:shd w:val="clear" w:color="auto" w:fill="F7F7F7"/>
        <w:spacing w:after="210" w:line="300" w:lineRule="atLeast"/>
        <w:rPr>
          <w:rFonts w:ascii="Arial" w:eastAsia="Times New Roman" w:hAnsi="Arial" w:cs="Arial"/>
          <w:color w:val="3E4D51"/>
          <w:sz w:val="21"/>
          <w:szCs w:val="21"/>
          <w:lang w:val="en"/>
        </w:rPr>
      </w:pPr>
      <w:r w:rsidRPr="001D21E1">
        <w:rPr>
          <w:rFonts w:ascii="Arial" w:eastAsia="Times New Roman" w:hAnsi="Arial" w:cs="Arial"/>
          <w:i/>
          <w:iCs/>
          <w:color w:val="3E4D51"/>
          <w:sz w:val="21"/>
          <w:szCs w:val="21"/>
          <w:lang w:val="en"/>
        </w:rPr>
        <w:t>*NOTE: The Executive Committee of the Board of Regents reserves the right to enter into Executive Session, if needed, in accordance with R.S. 42:6, to discuss personnel matters.</w:t>
      </w:r>
    </w:p>
    <w:p w:rsidR="001D21E1" w:rsidRPr="001D21E1" w:rsidRDefault="001D21E1" w:rsidP="001D21E1">
      <w:pPr>
        <w:shd w:val="clear" w:color="auto" w:fill="F7F7F7"/>
        <w:spacing w:after="210" w:line="300" w:lineRule="atLeast"/>
        <w:outlineLvl w:val="4"/>
        <w:rPr>
          <w:rFonts w:ascii="Arial" w:eastAsia="Times New Roman" w:hAnsi="Arial" w:cs="Arial"/>
          <w:b/>
          <w:bCs/>
          <w:color w:val="3E4D51"/>
          <w:sz w:val="21"/>
          <w:szCs w:val="21"/>
          <w:lang w:val="en"/>
        </w:rPr>
      </w:pPr>
      <w:r w:rsidRPr="001D21E1">
        <w:rPr>
          <w:rFonts w:ascii="Arial" w:eastAsia="Times New Roman" w:hAnsi="Arial" w:cs="Arial"/>
          <w:b/>
          <w:bCs/>
          <w:i/>
          <w:iCs/>
          <w:color w:val="3E4D51"/>
          <w:sz w:val="21"/>
          <w:szCs w:val="21"/>
          <w:lang w:val="en"/>
        </w:rPr>
        <w:t xml:space="preserve">If you plan to attend any meeting listed on this notice and need assistance at that </w:t>
      </w:r>
      <w:proofErr w:type="spellStart"/>
      <w:proofErr w:type="gramStart"/>
      <w:r w:rsidRPr="001D21E1">
        <w:rPr>
          <w:rFonts w:ascii="Arial" w:eastAsia="Times New Roman" w:hAnsi="Arial" w:cs="Arial"/>
          <w:b/>
          <w:bCs/>
          <w:i/>
          <w:iCs/>
          <w:color w:val="3E4D51"/>
          <w:sz w:val="21"/>
          <w:szCs w:val="21"/>
          <w:lang w:val="en"/>
        </w:rPr>
        <w:t>tim</w:t>
      </w:r>
      <w:proofErr w:type="spellEnd"/>
      <w:proofErr w:type="gramEnd"/>
    </w:p>
    <w:p w:rsidR="007C4D29" w:rsidRDefault="007C4D29">
      <w:bookmarkStart w:id="0" w:name="_GoBack"/>
      <w:bookmarkEnd w:id="0"/>
    </w:p>
    <w:sectPr w:rsidR="007C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E1"/>
    <w:rsid w:val="001D21E1"/>
    <w:rsid w:val="007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ents.louisiana.gov/wp-content/uploads/2014/08/Search-Agenda-2014-08-27-28.pdf" TargetMode="External"/><Relationship Id="rId18" Type="http://schemas.openxmlformats.org/officeDocument/2006/relationships/hyperlink" Target="http://regents.louisiana.gov/wp-content/uploads/2014/09/Sponsored-Agenda-2014-0925.pdf" TargetMode="External"/><Relationship Id="rId26" Type="http://schemas.openxmlformats.org/officeDocument/2006/relationships/hyperlink" Target="http://regents.louisiana.gov/wp-content/uploads/2014/10/PRP-Agenda-2014-1022.pdf" TargetMode="External"/><Relationship Id="rId39" Type="http://schemas.openxmlformats.org/officeDocument/2006/relationships/hyperlink" Target="http://regents.louisiana.gov/wp-content/uploads/2014/12/Joint-BOR-BESE-Meeting-Agenda-2014-121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gents.louisiana.gov/wp-content/uploads/2014/10/Board-Agenda-2014-1009.pdf" TargetMode="External"/><Relationship Id="rId34" Type="http://schemas.openxmlformats.org/officeDocument/2006/relationships/hyperlink" Target="http://regents.louisiana.gov/wp-content/uploads/2014/12/PRP-Agenda-2014-1210.pdf" TargetMode="External"/><Relationship Id="rId42" Type="http://schemas.openxmlformats.org/officeDocument/2006/relationships/hyperlink" Target="http://regents.louisiana.gov/wp-content/uploads/2014/12/Joint-BOR-BESE-Meeting-Minutes-Draft-for-2014-0618.pdf" TargetMode="External"/><Relationship Id="rId47" Type="http://schemas.openxmlformats.org/officeDocument/2006/relationships/hyperlink" Target="http://regents.louisiana.gov/wp-content/uploads/2014/12/Joint-BOR-BESE-Mtg-Agenda-VII-SR-153-2014-1211.pdf" TargetMode="External"/><Relationship Id="rId50" Type="http://schemas.openxmlformats.org/officeDocument/2006/relationships/hyperlink" Target="http://regents.louisiana.gov/wp-content/uploads/2014/12/Joint-BOR-BESE-Meeting-Minutes-Draft-for-2014-0618.pdf" TargetMode="External"/><Relationship Id="rId7" Type="http://schemas.openxmlformats.org/officeDocument/2006/relationships/hyperlink" Target="http://regents.louisiana.gov/wp-content/uploads/2014/08/Sponsored-Agenda-2014-0827.pdf" TargetMode="External"/><Relationship Id="rId12" Type="http://schemas.openxmlformats.org/officeDocument/2006/relationships/hyperlink" Target="http://regents.louisiana.gov/wp-content/uploads/2014/08/Search-Agenda-2014-08-27-28.pdf" TargetMode="External"/><Relationship Id="rId17" Type="http://schemas.openxmlformats.org/officeDocument/2006/relationships/hyperlink" Target="http://regents.louisiana.gov/wp-content/uploads/2014/09/Executive-Agenda-2014-0925.pdf" TargetMode="External"/><Relationship Id="rId25" Type="http://schemas.openxmlformats.org/officeDocument/2006/relationships/hyperlink" Target="http://regents.louisiana.gov/wp-content/uploads/2014/10/Finance-Agenda-2014-1022.pdf" TargetMode="External"/><Relationship Id="rId33" Type="http://schemas.openxmlformats.org/officeDocument/2006/relationships/hyperlink" Target="http://regents.louisiana.gov/wp-content/uploads/2014/12/Facilities-Agenda-2014-1210.pdf" TargetMode="External"/><Relationship Id="rId38" Type="http://schemas.openxmlformats.org/officeDocument/2006/relationships/hyperlink" Target="http://regents.louisiana.gov/wp-content/uploads/2014/12/LUMCON-Agenda-2014-1210.pdf" TargetMode="External"/><Relationship Id="rId46" Type="http://schemas.openxmlformats.org/officeDocument/2006/relationships/hyperlink" Target="http://regents.louisiana.gov/wp-content/uploads/2014/12/Joint-BOR-BESE-Meeting-Minutes-Draft-for-2014-061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gents.louisiana.gov/wp-content/uploads/2014/09/Finance-Agenda-2014-0925.pdf" TargetMode="External"/><Relationship Id="rId20" Type="http://schemas.openxmlformats.org/officeDocument/2006/relationships/hyperlink" Target="http://regents.louisiana.gov/wp-content/uploads/2014/09/Board-Agenda-2014-0925.pdf" TargetMode="External"/><Relationship Id="rId29" Type="http://schemas.openxmlformats.org/officeDocument/2006/relationships/hyperlink" Target="http://regents.louisiana.gov/wp-content/uploads/2014/10/Executive-Agenda-2014-1022.pdf" TargetMode="External"/><Relationship Id="rId41" Type="http://schemas.openxmlformats.org/officeDocument/2006/relationships/hyperlink" Target="http://regents.louisiana.gov/wp-content/uploads/2014/12/Joint-BOR-BESE-Meeting-Minutes-Draft-for-2014-0618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gents.louisiana.gov/wp-content/uploads/2014/08/Facilities-Agenda-2014-0827.pdf" TargetMode="External"/><Relationship Id="rId11" Type="http://schemas.openxmlformats.org/officeDocument/2006/relationships/hyperlink" Target="http://regents.louisiana.gov/wp-content/uploads/2014/08/Board-Agenda-2014-0827.pdf" TargetMode="External"/><Relationship Id="rId24" Type="http://schemas.openxmlformats.org/officeDocument/2006/relationships/hyperlink" Target="http://regents.louisiana.gov/wp-content/uploads/2014/10/Facilities-Recommendations-Rev2-2014-1022.pdf" TargetMode="External"/><Relationship Id="rId32" Type="http://schemas.openxmlformats.org/officeDocument/2006/relationships/hyperlink" Target="http://regents.louisiana.gov/wp-content/uploads/2014/12/ASA-Agenda-2014-1210.pdf" TargetMode="External"/><Relationship Id="rId37" Type="http://schemas.openxmlformats.org/officeDocument/2006/relationships/hyperlink" Target="http://regents.louisiana.gov/wp-content/uploads/2014/12/Nominating-Agenda-2014-1210-Rev.pdf" TargetMode="External"/><Relationship Id="rId40" Type="http://schemas.openxmlformats.org/officeDocument/2006/relationships/hyperlink" Target="http://regents.louisiana.gov/wp-content/uploads/2014/12/Joint-BOR-BESE-Meeting-Minutes-Draft-for-2014-0618.pdf" TargetMode="External"/><Relationship Id="rId45" Type="http://schemas.openxmlformats.org/officeDocument/2006/relationships/hyperlink" Target="http://regents.louisiana.gov/wp-content/uploads/2014/12/Joint-BOR-Bese-Mtg-Agenda-VI-HCR-173-2014-1211-Appendix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regents.louisiana.gov/wp-content/uploads/2014/08/Academic-Agenda-2014-0827.pdf" TargetMode="External"/><Relationship Id="rId15" Type="http://schemas.openxmlformats.org/officeDocument/2006/relationships/hyperlink" Target="http://regents.louisiana.gov/wp-content/uploads/2014/09/Academic-Agenda-2014-0925.pdf" TargetMode="External"/><Relationship Id="rId23" Type="http://schemas.openxmlformats.org/officeDocument/2006/relationships/hyperlink" Target="http://regents.louisiana.gov/wp-content/uploads/2014/10/Facilities-Agenda-Rev2-2014-1022.pdf" TargetMode="External"/><Relationship Id="rId28" Type="http://schemas.openxmlformats.org/officeDocument/2006/relationships/hyperlink" Target="http://regents.louisiana.gov/wp-content/uploads/2014/10/PRP-SUS-1ST-Quarterly-Report-Attachment-Feedback.pdf" TargetMode="External"/><Relationship Id="rId36" Type="http://schemas.openxmlformats.org/officeDocument/2006/relationships/hyperlink" Target="http://regents.louisiana.gov/wp-content/uploads/2014/12/Sponsored-Agenda-2014-1210.pdf" TargetMode="External"/><Relationship Id="rId49" Type="http://schemas.openxmlformats.org/officeDocument/2006/relationships/hyperlink" Target="http://regents.louisiana.gov/wp-content/uploads/2014/12/Joint-BOR-BESE-Mtg-Agenda-VIII-SB202-Act359-2014-1211.pdf" TargetMode="External"/><Relationship Id="rId10" Type="http://schemas.openxmlformats.org/officeDocument/2006/relationships/hyperlink" Target="http://regents.louisiana.gov/wp-content/uploads/2014/08/PRP-Agenda-Part-3-2014-0827.pdf" TargetMode="External"/><Relationship Id="rId19" Type="http://schemas.openxmlformats.org/officeDocument/2006/relationships/hyperlink" Target="http://regents.louisiana.gov/wp-content/uploads/2014/09/PRP-Agenda-2014-0925.pdf" TargetMode="External"/><Relationship Id="rId31" Type="http://schemas.openxmlformats.org/officeDocument/2006/relationships/hyperlink" Target="http://regents.louisiana.gov/wp-content/uploads/2014/11/Executive-Agenda-2014-1114.pdf" TargetMode="External"/><Relationship Id="rId44" Type="http://schemas.openxmlformats.org/officeDocument/2006/relationships/hyperlink" Target="http://regents.louisiana.gov/wp-content/uploads/2014/12/Joint-BOR-BESE-Meeting-Minutes-Draft-for-2014-0618.pdf" TargetMode="External"/><Relationship Id="rId52" Type="http://schemas.openxmlformats.org/officeDocument/2006/relationships/hyperlink" Target="http://regents.louisiana.gov/wp-content/uploads/2015/01/Board-Agenda-2014-12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ents.louisiana.gov/wp-content/uploads/2014/08/PRP-Agenda-Part-2-2014-0827.pdf" TargetMode="External"/><Relationship Id="rId14" Type="http://schemas.openxmlformats.org/officeDocument/2006/relationships/hyperlink" Target="http://regents.louisiana.gov/wp-content/uploads/2014/09/BOR-Budget-Hearings-2014-0924.pdf" TargetMode="External"/><Relationship Id="rId22" Type="http://schemas.openxmlformats.org/officeDocument/2006/relationships/hyperlink" Target="http://regents.louisiana.gov/wp-content/uploads/2014/10/Academic-Agenda-2014-10221.pdf" TargetMode="External"/><Relationship Id="rId27" Type="http://schemas.openxmlformats.org/officeDocument/2006/relationships/hyperlink" Target="http://regents.louisiana.gov/wp-content/uploads/2014/10/PRP-SUS-1ST-Quarterly-Report.pdf" TargetMode="External"/><Relationship Id="rId30" Type="http://schemas.openxmlformats.org/officeDocument/2006/relationships/hyperlink" Target="http://regents.louisiana.gov/wp-content/uploads/2014/10/Board-Agenda-2014-1022.pdf" TargetMode="External"/><Relationship Id="rId35" Type="http://schemas.openxmlformats.org/officeDocument/2006/relationships/hyperlink" Target="http://regents.louisiana.gov/wp-content/uploads/2014/12/PRP-Agenda-TOPS-2003-14-Rpt-2014-1210.pdf" TargetMode="External"/><Relationship Id="rId43" Type="http://schemas.openxmlformats.org/officeDocument/2006/relationships/hyperlink" Target="http://regents.louisiana.gov/wp-content/uploads/2014/12/Joint-BOR-BESE-Mtg-Agenda-VI-HCR-173-2014-1211.pdf" TargetMode="External"/><Relationship Id="rId48" Type="http://schemas.openxmlformats.org/officeDocument/2006/relationships/hyperlink" Target="http://regents.louisiana.gov/wp-content/uploads/2014/12/Joint-BOR-BESE-Meeting-Minutes-Draft-for-2014-0618.pdf" TargetMode="External"/><Relationship Id="rId8" Type="http://schemas.openxmlformats.org/officeDocument/2006/relationships/hyperlink" Target="http://regents.louisiana.gov/wp-content/uploads/2014/08/PRP-Agenda-Part-1-2014-0827.pdf" TargetMode="External"/><Relationship Id="rId51" Type="http://schemas.openxmlformats.org/officeDocument/2006/relationships/hyperlink" Target="http://regents.louisiana.gov/wp-content/uploads/2015/01/FAFSA-Report-BESE-BOR-Meeting-2014-12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Freeman</dc:creator>
  <cp:lastModifiedBy>Marlene Freeman</cp:lastModifiedBy>
  <cp:revision>1</cp:revision>
  <dcterms:created xsi:type="dcterms:W3CDTF">2015-05-07T16:44:00Z</dcterms:created>
  <dcterms:modified xsi:type="dcterms:W3CDTF">2015-05-07T16:46:00Z</dcterms:modified>
</cp:coreProperties>
</file>